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0332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03320" w:rsidP="0059335D" w:rsidRDefault="00D03320" w14:paraId="2D897614" w14:textId="036FEFC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03320" w:rsidP="0059335D" w:rsidRDefault="00D03320" w14:paraId="4AA051D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03320" w:rsidP="0059335D" w:rsidRDefault="00D03320" w14:paraId="4D66949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293.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קנסות על עבירות-הבנייה של האזרחים הערבים </w:t>
      </w:r>
      <w:bookmarkEnd w:id="4"/>
    </w:p>
    <w:p w:rsidR="00D03320" w:rsidP="0059335D" w:rsidRDefault="00D03320" w14:paraId="500F6B18" w14:textId="40C6981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03320" w:rsidP="0059335D" w:rsidRDefault="00D03320" w14:paraId="0CA8BF7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בטבת התשע"ז (23 בינואר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03320" w:rsidRDefault="00D03320" w14:paraId="62A373DE" w14:textId="664417B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בהתבסס על מחקר שנערך על-יד</w:t>
      </w:r>
      <w:r w:rsidR="0059335D">
        <w:rPr>
          <w:rFonts w:hint="cs" w:ascii="Tahoma" w:hAnsi="Tahoma" w:cs="David"/>
          <w:rtl/>
        </w:rPr>
        <w:t xml:space="preserve">י עו"ד קייס נאסר (משפטן ומומחה לדיני תכנון ובנייה) עולה כי האזרחים הערבים משלמים </w:t>
      </w:r>
      <w:r>
        <w:rPr>
          <w:rFonts w:hint="cs" w:ascii="Tahoma" w:hAnsi="Tahoma" w:cs="David"/>
          <w:rtl/>
        </w:rPr>
        <w:t>קנסות</w:t>
      </w:r>
      <w:r>
        <w:rPr>
          <w:rFonts w:hint="cs" w:ascii="Tahoma" w:hAnsi="Tahoma" w:cs="David"/>
          <w:rtl/>
        </w:rPr>
        <w:t xml:space="preserve"> על עבירות תכנון ובנייה, </w:t>
      </w:r>
      <w:r w:rsidR="0059335D">
        <w:rPr>
          <w:rFonts w:hint="cs" w:ascii="Tahoma" w:hAnsi="Tahoma" w:cs="David"/>
          <w:rtl/>
        </w:rPr>
        <w:t>עשרות מיליוני שקלים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03320" w:rsidP="0059335D" w:rsidRDefault="00D03320" w14:paraId="5D4F555F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03320" w:rsidP="0059335D" w:rsidRDefault="00D03320" w14:paraId="0D418E1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03320" w:rsidRDefault="0059335D" w14:paraId="0F57CE1B" w14:textId="4BA7BD7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הנתונים </w:t>
      </w:r>
      <w:r w:rsidR="00D03320">
        <w:rPr>
          <w:rFonts w:hint="cs" w:ascii="Tahoma" w:hAnsi="Tahoma" w:cs="David"/>
          <w:rtl/>
        </w:rPr>
        <w:t>מוכרים</w:t>
      </w:r>
      <w:r>
        <w:rPr>
          <w:rFonts w:hint="cs" w:ascii="Tahoma" w:hAnsi="Tahoma" w:cs="David"/>
          <w:rtl/>
        </w:rPr>
        <w:t xml:space="preserve">? </w:t>
      </w:r>
      <w:bookmarkEnd w:id="14"/>
      <w:r w:rsidR="00D03320">
        <w:rPr>
          <w:rFonts w:hint="cs" w:ascii="Tahoma" w:hAnsi="Tahoma" w:cs="David"/>
          <w:rtl/>
        </w:rPr>
        <w:t xml:space="preserve"> אם כן </w:t>
      </w:r>
      <w:r w:rsidR="00D03320">
        <w:rPr>
          <w:rFonts w:hint="eastAsia" w:ascii="Tahoma" w:hAnsi="Tahoma" w:cs="David"/>
        </w:rPr>
        <w:t>–</w:t>
      </w:r>
    </w:p>
    <w:p w:rsidR="004353C8" w:rsidRDefault="00D03320" w14:paraId="5733946A" w14:textId="4CB1D16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התוכנית של המשרד לבעיית הבנייה במגזר הערבי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353C8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03320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54F2-A843-408F-8EF0-BB39922B1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7CADEDD-378E-439D-A7AB-A73D75A5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2012949</vt:r8>
  </property>
</Properties>
</file>