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העלאת המודעות למחלת האיידס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התשפ"א (5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נוהל 134 של משרד הבריאות קובע כללים להעלאת מודעות למחלות והנגשת המידע לציבור ולפיו הכלל הוא הודעה לאגף הרוקחות, ללא צורך באישור מוקדם של התוכן.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החריג היחידי הוא מחלת האיידס (סעיף 3.1.5.7).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להעלאת מודעות למחלת האיידס נדרש אישור מוקדם של אגף הרוקחות ושל המחלקה למניעת שחפת ואיידס?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391475-CB8D-4396-8302-4C9C01E2CC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2148271</vt:r8>
  </property>
</Properties>
</file>