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גובה הגירעון בתקציב המדינה לשנת 2026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בשבט התשפ"ו (25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הוגש לכנסת תקציב המדינה לשנת 2026. על פי הכתוב, הגירעון צפוי לעמוד על 3.9%.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נוקט משרדך על מנת שלא תיפרץ תקרת הגירעון במהלך שנת 2026?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נוקט משרדך על מנת שיחס החוב/ תוצר לא יעלה לעומת שנת 2025?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6564CF4-EA46-41A2-9D90-DE86EFB2FE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2239707</vt:r8>
  </property>
</Properties>
</file>